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CD" w:rsidRDefault="009517CD">
      <w:bookmarkStart w:id="0" w:name="_GoBack"/>
      <w:bookmarkEnd w:id="0"/>
    </w:p>
    <w:tbl>
      <w:tblPr>
        <w:tblW w:w="10790" w:type="dxa"/>
        <w:tblLayout w:type="fixed"/>
        <w:tblCellMar>
          <w:left w:w="115" w:type="dxa"/>
          <w:right w:w="115" w:type="dxa"/>
        </w:tblCellMar>
        <w:tblLook w:val="0600" w:firstRow="0" w:lastRow="0" w:firstColumn="0" w:lastColumn="0" w:noHBand="1" w:noVBand="1"/>
      </w:tblPr>
      <w:tblGrid>
        <w:gridCol w:w="3600"/>
        <w:gridCol w:w="720"/>
        <w:gridCol w:w="6470"/>
      </w:tblGrid>
      <w:tr w:rsidR="000629D5" w:rsidTr="009517CD">
        <w:trPr>
          <w:trHeight w:val="4032"/>
        </w:trPr>
        <w:tc>
          <w:tcPr>
            <w:tcW w:w="3600" w:type="dxa"/>
            <w:vAlign w:val="bottom"/>
          </w:tcPr>
          <w:p w:rsidR="009517CD" w:rsidRDefault="009517CD" w:rsidP="009517CD">
            <w:pPr>
              <w:tabs>
                <w:tab w:val="left" w:pos="990"/>
              </w:tabs>
              <w:jc w:val="both"/>
              <w:rPr>
                <w:color w:val="2B3685"/>
                <w:sz w:val="40"/>
                <w:szCs w:val="40"/>
                <w14:shadow w14:blurRad="63500" w14:dist="0" w14:dir="0" w14:sx="102000" w14:sy="102000" w14:kx="0" w14:ky="0" w14:algn="ctr">
                  <w14:srgbClr w14:val="000000">
                    <w14:alpha w14:val="60000"/>
                  </w14:srgbClr>
                </w14:shadow>
              </w:rPr>
            </w:pPr>
            <w:r w:rsidRPr="009517CD">
              <w:rPr>
                <w:color w:val="2B3685"/>
                <w:sz w:val="40"/>
                <w:szCs w:val="40"/>
                <w14:shadow w14:blurRad="63500" w14:dist="0" w14:dir="0" w14:sx="102000" w14:sy="102000" w14:kx="0" w14:ky="0" w14:algn="ctr">
                  <w14:srgbClr w14:val="000000">
                    <w14:alpha w14:val="60000"/>
                  </w14:srgbClr>
                </w14:shadow>
              </w:rPr>
              <w:t>KUMLUCA FARABİ MTAL REHBERLİK SERVİSİ</w:t>
            </w:r>
          </w:p>
          <w:p w:rsidR="009517CD" w:rsidRPr="009517CD" w:rsidRDefault="009517CD" w:rsidP="009517CD">
            <w:pPr>
              <w:tabs>
                <w:tab w:val="left" w:pos="990"/>
              </w:tabs>
              <w:jc w:val="both"/>
              <w:rPr>
                <w:color w:val="2B3685"/>
                <w:sz w:val="40"/>
                <w:szCs w:val="40"/>
                <w14:shadow w14:blurRad="63500" w14:dist="0" w14:dir="0" w14:sx="102000" w14:sy="102000" w14:kx="0" w14:ky="0" w14:algn="ctr">
                  <w14:srgbClr w14:val="000000">
                    <w14:alpha w14:val="60000"/>
                  </w14:srgbClr>
                </w14:shadow>
              </w:rPr>
            </w:pPr>
          </w:p>
          <w:p w:rsidR="000629D5" w:rsidRDefault="000629D5" w:rsidP="002A3224">
            <w:pPr>
              <w:tabs>
                <w:tab w:val="left" w:pos="990"/>
              </w:tabs>
              <w:jc w:val="both"/>
            </w:pPr>
          </w:p>
        </w:tc>
        <w:tc>
          <w:tcPr>
            <w:tcW w:w="720" w:type="dxa"/>
          </w:tcPr>
          <w:p w:rsidR="000629D5" w:rsidRDefault="000629D5" w:rsidP="009517CD">
            <w:pPr>
              <w:tabs>
                <w:tab w:val="left" w:pos="990"/>
              </w:tabs>
              <w:jc w:val="both"/>
            </w:pPr>
          </w:p>
        </w:tc>
        <w:tc>
          <w:tcPr>
            <w:tcW w:w="6470" w:type="dxa"/>
            <w:vMerge w:val="restart"/>
            <w:vAlign w:val="center"/>
          </w:tcPr>
          <w:p w:rsidR="009517CD" w:rsidRDefault="009517CD" w:rsidP="009517CD">
            <w:pPr>
              <w:pStyle w:val="Adres"/>
              <w:jc w:val="both"/>
              <w:rPr>
                <w:b/>
                <w:bCs/>
              </w:rPr>
            </w:pPr>
            <w:r w:rsidRPr="009517CD">
              <w:rPr>
                <w:b/>
                <w:bCs/>
              </w:rPr>
              <w:t>ORTAÖĞRETİM KURUMLARI YÖNETMELİĞİ'NDE YAPILAN DEĞİŞİKLİK RESMÎ GAZETEDE YAYIMLANDI</w:t>
            </w:r>
          </w:p>
          <w:p w:rsidR="009517CD" w:rsidRPr="009517CD" w:rsidRDefault="009517CD" w:rsidP="009517CD">
            <w:pPr>
              <w:pStyle w:val="Adres"/>
              <w:jc w:val="both"/>
              <w:rPr>
                <w:b/>
                <w:bCs/>
              </w:rPr>
            </w:pPr>
          </w:p>
          <w:p w:rsidR="009517CD" w:rsidRPr="009517CD" w:rsidRDefault="009517CD" w:rsidP="009517CD">
            <w:pPr>
              <w:pStyle w:val="Adres"/>
              <w:jc w:val="both"/>
            </w:pPr>
            <w:r w:rsidRPr="009517CD">
              <w:t>Millî Eğitim Bakanlığı Ortaöğretim Kurumları Yönetmeliği'nde Değişiklik Yapılmasına Dair Yöne</w:t>
            </w:r>
            <w:r>
              <w:t xml:space="preserve">tmelik, Resmî Gazete'nin </w:t>
            </w:r>
            <w:proofErr w:type="gramStart"/>
            <w:r>
              <w:t>08/09/2023</w:t>
            </w:r>
            <w:proofErr w:type="gramEnd"/>
            <w:r>
              <w:t xml:space="preserve"> Tarihli </w:t>
            </w:r>
            <w:r w:rsidRPr="009517CD">
              <w:t>sayısında yayımlandı.</w:t>
            </w:r>
          </w:p>
          <w:p w:rsidR="009517CD" w:rsidRPr="009517CD" w:rsidRDefault="009517CD" w:rsidP="009517CD">
            <w:pPr>
              <w:pStyle w:val="Adres"/>
              <w:jc w:val="both"/>
            </w:pPr>
            <w:r w:rsidRPr="009517CD">
              <w:rPr>
                <w:rFonts w:ascii="Tahoma" w:hAnsi="Tahoma" w:cs="Tahoma"/>
              </w:rPr>
              <w:t>﻿</w:t>
            </w:r>
          </w:p>
          <w:p w:rsidR="009517CD" w:rsidRPr="009517CD" w:rsidRDefault="009517CD" w:rsidP="009517CD">
            <w:pPr>
              <w:pStyle w:val="Adres"/>
              <w:jc w:val="both"/>
            </w:pPr>
            <w:r w:rsidRPr="009517CD">
              <w:t>Ortaöğretim Kurumları Yönetmeliğinde Değişiklik Yapılmasına Dair Yönetmelik uyarınca devamsızlık ve başarısızlık nedeniyle sınıf tekrarı riski taşıyan öğrencilere yönelik çalışmaları gerçekleştirmek amacıyla "önleme, müdahale ve yönlendirme komisyonu" kuruldu.</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Art arda iki gün özürsüz devamsızlık yapan öğrencinin durumu posta, e-posta veya diğer iletişim araçlarıyla velisine bildirilecek, veli okula davet edilerek öğrencinin durumu hakkında bilgilendirilecek ve varsa özür belgesini okul yönetimine teslim etmesi istenecek.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Devamsızlık süresi özürsüz 10 günü, toplam 30 günü aşan öğrenciler, ders puanları ne olursa olsun başarısız sayılacak ve durumları yazılı olarak velilerine bildirilecek.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Birinci dereceden yakınını kaybedenlerin özürsüz devamsızlık süresi olan 10 günü geçmemek kaydıyla toplam devamsızlık süresi 40 gün olacak.</w:t>
            </w:r>
          </w:p>
          <w:p w:rsidR="009517CD" w:rsidRPr="009517CD" w:rsidRDefault="009517CD" w:rsidP="009517CD">
            <w:pPr>
              <w:pStyle w:val="Adres"/>
              <w:jc w:val="both"/>
            </w:pPr>
            <w:r w:rsidRPr="009517CD">
              <w:t> </w:t>
            </w:r>
          </w:p>
          <w:p w:rsidR="009517CD" w:rsidRDefault="009517CD" w:rsidP="009517CD">
            <w:pPr>
              <w:pStyle w:val="Adres"/>
              <w:jc w:val="both"/>
            </w:pPr>
            <w:r w:rsidRPr="009517CD">
              <w:t>Önleme, müdahale ve yönlendirme komisyonu, devamsızlık yapan ve sınıf tekrarı riski bulunan öğrenci velisini devamsızlığın 5'inci gününde okula davet edecek, devamsızlık nedenlerini ortadan kaldırıcı çalışmaları iş birliği içinde yapacak.</w:t>
            </w:r>
            <w:r>
              <w:t xml:space="preserve"> Devamsızlık Durum Anketleri uygulanacaktır.</w:t>
            </w:r>
          </w:p>
          <w:p w:rsidR="009E5660" w:rsidRDefault="009E5660" w:rsidP="009517CD">
            <w:pPr>
              <w:pStyle w:val="Adres"/>
              <w:jc w:val="both"/>
            </w:pPr>
          </w:p>
          <w:p w:rsidR="009517CD" w:rsidRDefault="009E5660" w:rsidP="009E5660">
            <w:pPr>
              <w:pStyle w:val="Adres"/>
            </w:pPr>
            <w:r w:rsidRPr="009E5660">
              <w:t>Öğrencilerin okula aidiyetlerinin artırılması ve okula devamın sağlanması amaçlanarak özürsüz olarak yapılan her bir devamsızlık günü haftalık ders çizelgesinde belirtilen sosyal sorumluluk çalışmaları için ön görülen süreye bir saat olarak ayrıca eklenecek.</w:t>
            </w:r>
          </w:p>
          <w:p w:rsidR="009E5660" w:rsidRPr="009517CD" w:rsidRDefault="009E5660" w:rsidP="009E5660">
            <w:pPr>
              <w:pStyle w:val="Adres"/>
            </w:pPr>
          </w:p>
          <w:p w:rsidR="009517CD" w:rsidRPr="009517CD" w:rsidRDefault="009517CD" w:rsidP="009517CD">
            <w:pPr>
              <w:pStyle w:val="Adres"/>
              <w:jc w:val="both"/>
            </w:pPr>
            <w:r w:rsidRPr="009517CD">
              <w:t>Mesleki eğitim merkezinde öğrenim hakkı bulunmayanlardan zorunlu eğitime tabi olanlar ise veli ve öğrenci talebi de dikkate alınarak açık öğretim lisesi, mesleki açık öğretim lisesi veya açık öğretim imam hatip lisesine yönlendirilerek kayıtları yapılacak.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Yatarak tedaviyi gerektiren hallerde sağlık kurumlarınca verilen raporların süresi, mevcut devamsızlık toplamı olan süreyi aşan durumlar için de yeni hüküm getirildi.</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 xml:space="preserve">Buna göre, bu gibi durumlarda hak kayıplarının önlenmesi amacıyla yatarak tedavi gerektiren durumlarda </w:t>
            </w:r>
            <w:r w:rsidRPr="009517CD">
              <w:lastRenderedPageBreak/>
              <w:t>öğrencilerin devamsızlık sürelerinin kontrol kayıtlı sürekli tedaviyi ya da organ naklini gerektiren hastalığı bulunan öğrencilerde olduğu gibi devamsızlık süresi 60 gün olacak.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rPr>
                <w:b/>
                <w:bCs/>
              </w:rPr>
              <w:t>Aç</w:t>
            </w:r>
            <w:r w:rsidR="009E5660">
              <w:rPr>
                <w:b/>
                <w:bCs/>
              </w:rPr>
              <w:t xml:space="preserve">ık liseye geçişler </w:t>
            </w:r>
          </w:p>
          <w:p w:rsidR="009517CD" w:rsidRPr="009517CD" w:rsidRDefault="009517CD" w:rsidP="009517CD">
            <w:pPr>
              <w:pStyle w:val="Adres"/>
              <w:jc w:val="both"/>
            </w:pPr>
            <w:r w:rsidRPr="009517CD">
              <w:t>Yönetmelik ile millî sporcular, kaynaştırma öğrencileri, koruma kanunu kapsamındaki öğrenciler, şehit ve gazi çocukları, Bakanlıkça mazereti uygun görülenler ile yönetmeliğin ilgili hükümlerine göre örgün ortaöğretim kurumlarında okuma hakkını kaybeden öğrenciler gibi istisnalar dışında açık liseye nakil ve geçişler yapılamayacak.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rPr>
                <w:b/>
                <w:bCs/>
              </w:rPr>
              <w:t>50 başarı puanı sınıf geçmek için yeterli olmayacak</w:t>
            </w:r>
          </w:p>
          <w:p w:rsidR="009517CD" w:rsidRPr="009517CD" w:rsidRDefault="009517CD" w:rsidP="009517CD">
            <w:pPr>
              <w:pStyle w:val="Adres"/>
              <w:jc w:val="both"/>
            </w:pPr>
            <w:r w:rsidRPr="009517CD">
              <w:t>Yönetmelik ile liselerde sınıf geçme maddelerinde bir dizi düzenleme daha yapıldı. Buna göre, daha önce bir üst sınıfa geçişler için gerekli 50 ortalama artık yeterli olmayacak.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 xml:space="preserve">Öğrencilerin sınıf geçmelerine yönelik, derslere ilişkin yeterlilik ve kazanımlara sahip olarak eğitim ve öğretim süreçlerini tamamlamalarını sağlamak amacıyla </w:t>
            </w:r>
            <w:proofErr w:type="gramStart"/>
            <w:r w:rsidRPr="009517CD">
              <w:t>yıl sonu</w:t>
            </w:r>
            <w:proofErr w:type="gramEnd"/>
            <w:r w:rsidRPr="009517CD">
              <w:t xml:space="preserve"> başarı puanı 50 olmak kaydıyla en fazla 1 dersten başarısız dersi bulunanlar doğrudan bir üst sınıfa geçebilecek.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Yeni ders ortalaması 50 olan öğrencilerden en fazla 3 dersten başarısız olanlar, sorumlu olarak bir üst sınıfa geçebilecek. Yönetmeliğe göre liselerde 4 ders ve üzeri zayıfı olan öğrenciler sınıf tekrarı yapacak.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Bu uygulama, 2023-2024 eğitim ve öğretim yılından itibaren kademeli olarak uygulanacak. Bu kapsamda bu yıl liseye başlayan 9'uncu sınıf öğrencilerine yeni yönetmelik hükümleri uygulanacak, diğer sınıflar için eski uygulama sürecek.</w:t>
            </w:r>
          </w:p>
          <w:p w:rsidR="009517CD" w:rsidRPr="009517CD" w:rsidRDefault="009517CD" w:rsidP="009517CD">
            <w:pPr>
              <w:pStyle w:val="Adres"/>
              <w:jc w:val="both"/>
            </w:pPr>
            <w:r w:rsidRPr="009517CD">
              <w:t> </w:t>
            </w:r>
          </w:p>
          <w:p w:rsidR="009517CD" w:rsidRPr="009517CD" w:rsidRDefault="009517CD" w:rsidP="009517CD">
            <w:pPr>
              <w:pStyle w:val="Adres"/>
              <w:jc w:val="both"/>
            </w:pPr>
            <w:proofErr w:type="gramStart"/>
            <w:r w:rsidRPr="009517CD">
              <w:t>e</w:t>
            </w:r>
            <w:proofErr w:type="gramEnd"/>
            <w:r w:rsidRPr="009517CD">
              <w:t>-Okul sisteminde sorumluluk sınavlarına katılması gereken öğrencilerin bilgileri esas alınarak yapılan planlamalarda okuldan mezun olamayarak beklemeli durumdaki 12'nci sınıf öğrencileri ile devamsızlık tebligatı yapıldığı hâlde okula devam etmeyen öğrencilerin, sorumluluk sınav tarihinden 5 iş günü öncesine kadar okul müdürlüğüne bildirimde bulunmaları hâlinde sorumluluk sınavı planına dâhil edilecek.</w:t>
            </w:r>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Mesleki eğitim merkezinde sınıf tekrarı ve öğrenim hakkına ilişkin düzenleme yapıldı ve mesleki eğitim merkezi öğrencilerinin 11'inci sınıfta kalfalık belgesini almadan 12'nci sınıftaki ustalık eğitimine geçmemelerini temin etmek için düzenleme yapıldı.</w:t>
            </w:r>
          </w:p>
          <w:p w:rsidR="009517CD" w:rsidRPr="009517CD" w:rsidRDefault="009517CD" w:rsidP="009517CD">
            <w:pPr>
              <w:pStyle w:val="Adres"/>
              <w:jc w:val="both"/>
            </w:pPr>
            <w:r w:rsidRPr="009517CD">
              <w:t> </w:t>
            </w:r>
          </w:p>
          <w:p w:rsidR="009517CD" w:rsidRPr="009517CD" w:rsidRDefault="009517CD" w:rsidP="009517CD">
            <w:pPr>
              <w:pStyle w:val="Adres"/>
              <w:jc w:val="both"/>
            </w:pPr>
            <w:proofErr w:type="gramStart"/>
            <w:r w:rsidRPr="009517CD">
              <w:t xml:space="preserve">Açık öğretim lisesi, mesleki açık öğretim lisesi veya açık öğretim imam hatip lisesinde öğrenim görmekte iken, başarmış oldukları kredi itibarıyla örgün ortaöğretim kurumlarına nakil ve geçiş yapabilecek durumda olan, yaş </w:t>
            </w:r>
            <w:r w:rsidRPr="009517CD">
              <w:lastRenderedPageBreak/>
              <w:t>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yapabilecekler.</w:t>
            </w:r>
            <w:proofErr w:type="gramEnd"/>
          </w:p>
          <w:p w:rsidR="009517CD" w:rsidRPr="009517CD" w:rsidRDefault="009517CD" w:rsidP="009517CD">
            <w:pPr>
              <w:pStyle w:val="Adres"/>
              <w:jc w:val="both"/>
            </w:pPr>
            <w:r w:rsidRPr="009517CD">
              <w:t> </w:t>
            </w:r>
          </w:p>
          <w:p w:rsidR="009517CD" w:rsidRPr="009517CD" w:rsidRDefault="009517CD" w:rsidP="009517CD">
            <w:pPr>
              <w:pStyle w:val="Adres"/>
              <w:jc w:val="both"/>
            </w:pPr>
            <w:r w:rsidRPr="009517CD">
              <w:t>Nakil ve geçiş yapacak öğrencilerin durumları değerlendirilirken; açık öğretim liselerinde kredisini aldıkları dersler ile örgün ortaöğretim kurumlarının haftalık ders çizelgesinde yer alan dersleri sınıflar bazında karşılaştırılarak eşleştirilecek, rehberlik ve puanla değerlendirilmeyen ders saatleri hariç tutularak toplam ders saati sayısı iki ile çarpılarak kredilendirilecek. Toplam kredi itibarıyla ilişkilendirildikleri sınıfa nakil ve geçişleri yapılacak. Mesleki eğitim merkezine nakillerde kredi sayısına bakılmayacak.</w:t>
            </w:r>
          </w:p>
          <w:p w:rsidR="009517CD" w:rsidRPr="009517CD" w:rsidRDefault="009517CD" w:rsidP="009517CD">
            <w:pPr>
              <w:pStyle w:val="Adres"/>
              <w:jc w:val="both"/>
            </w:pPr>
            <w:r w:rsidRPr="009517CD">
              <w:t> </w:t>
            </w:r>
          </w:p>
          <w:p w:rsidR="000629D5" w:rsidRDefault="000629D5" w:rsidP="009E5660">
            <w:pPr>
              <w:pStyle w:val="Adres"/>
              <w:jc w:val="both"/>
            </w:pPr>
          </w:p>
        </w:tc>
      </w:tr>
      <w:tr w:rsidR="000629D5" w:rsidTr="009517CD">
        <w:trPr>
          <w:trHeight w:val="9504"/>
        </w:trPr>
        <w:tc>
          <w:tcPr>
            <w:tcW w:w="3600" w:type="dxa"/>
            <w:vAlign w:val="bottom"/>
          </w:tcPr>
          <w:p w:rsidR="000629D5" w:rsidRDefault="000629D5" w:rsidP="009517CD">
            <w:pPr>
              <w:jc w:val="both"/>
            </w:pPr>
          </w:p>
          <w:p w:rsidR="000629D5" w:rsidRPr="00846D4F" w:rsidRDefault="000629D5" w:rsidP="009517CD">
            <w:pPr>
              <w:pStyle w:val="KiiAyrntlar"/>
              <w:jc w:val="both"/>
              <w:rPr>
                <w:rStyle w:val="Kpr"/>
              </w:rPr>
            </w:pPr>
          </w:p>
        </w:tc>
        <w:tc>
          <w:tcPr>
            <w:tcW w:w="720" w:type="dxa"/>
          </w:tcPr>
          <w:p w:rsidR="000629D5" w:rsidRDefault="000629D5" w:rsidP="009517CD">
            <w:pPr>
              <w:tabs>
                <w:tab w:val="left" w:pos="990"/>
              </w:tabs>
              <w:jc w:val="both"/>
            </w:pPr>
          </w:p>
        </w:tc>
        <w:tc>
          <w:tcPr>
            <w:tcW w:w="6470" w:type="dxa"/>
            <w:vMerge/>
          </w:tcPr>
          <w:p w:rsidR="000629D5" w:rsidRPr="004D3011" w:rsidRDefault="000629D5" w:rsidP="009517CD">
            <w:pPr>
              <w:jc w:val="both"/>
              <w:rPr>
                <w:color w:val="FFFFFF" w:themeColor="background1"/>
              </w:rPr>
            </w:pPr>
          </w:p>
        </w:tc>
      </w:tr>
    </w:tbl>
    <w:p w:rsidR="0043117B" w:rsidRPr="00846D4F" w:rsidRDefault="00800C4E" w:rsidP="009517CD">
      <w:pPr>
        <w:tabs>
          <w:tab w:val="left" w:pos="990"/>
        </w:tabs>
        <w:spacing w:after="0"/>
        <w:jc w:val="both"/>
        <w:rPr>
          <w:sz w:val="8"/>
        </w:rPr>
      </w:pPr>
    </w:p>
    <w:sectPr w:rsidR="0043117B" w:rsidRPr="00846D4F" w:rsidSect="00B821B0">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4E" w:rsidRDefault="00800C4E" w:rsidP="000C45FF">
      <w:r>
        <w:separator/>
      </w:r>
    </w:p>
  </w:endnote>
  <w:endnote w:type="continuationSeparator" w:id="0">
    <w:p w:rsidR="00800C4E" w:rsidRDefault="00800C4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4E" w:rsidRDefault="00800C4E" w:rsidP="000C45FF">
      <w:r>
        <w:separator/>
      </w:r>
    </w:p>
  </w:footnote>
  <w:footnote w:type="continuationSeparator" w:id="0">
    <w:p w:rsidR="00800C4E" w:rsidRDefault="00800C4E"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stbilgi"/>
    </w:pPr>
    <w:r>
      <w:rPr>
        <w:noProof/>
        <w:lang w:eastAsia="tr-TR"/>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Grafik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E748F"/>
    <w:multiLevelType w:val="hybridMultilevel"/>
    <w:tmpl w:val="DBA04926"/>
    <w:lvl w:ilvl="0" w:tplc="90A47612">
      <w:start w:val="1"/>
      <w:numFmt w:val="bullet"/>
      <w:pStyle w:val="ListeMaddemi"/>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CD"/>
    <w:rsid w:val="00036450"/>
    <w:rsid w:val="00061C84"/>
    <w:rsid w:val="000629D5"/>
    <w:rsid w:val="00076632"/>
    <w:rsid w:val="00080236"/>
    <w:rsid w:val="000C45FF"/>
    <w:rsid w:val="000E3FD1"/>
    <w:rsid w:val="000F46E6"/>
    <w:rsid w:val="00180329"/>
    <w:rsid w:val="0019001F"/>
    <w:rsid w:val="001A74A5"/>
    <w:rsid w:val="001B2ABD"/>
    <w:rsid w:val="001D2335"/>
    <w:rsid w:val="001E1759"/>
    <w:rsid w:val="001F1ECC"/>
    <w:rsid w:val="002400EB"/>
    <w:rsid w:val="00244620"/>
    <w:rsid w:val="00256CF7"/>
    <w:rsid w:val="002A3224"/>
    <w:rsid w:val="0030481B"/>
    <w:rsid w:val="004071FC"/>
    <w:rsid w:val="00445947"/>
    <w:rsid w:val="004813B3"/>
    <w:rsid w:val="00496591"/>
    <w:rsid w:val="004C63E4"/>
    <w:rsid w:val="004D3011"/>
    <w:rsid w:val="005645EE"/>
    <w:rsid w:val="005D6289"/>
    <w:rsid w:val="005E39D5"/>
    <w:rsid w:val="00612544"/>
    <w:rsid w:val="0062123A"/>
    <w:rsid w:val="0064425B"/>
    <w:rsid w:val="00646E75"/>
    <w:rsid w:val="006610D6"/>
    <w:rsid w:val="006771D0"/>
    <w:rsid w:val="006B085D"/>
    <w:rsid w:val="006B0995"/>
    <w:rsid w:val="00715FCB"/>
    <w:rsid w:val="00731382"/>
    <w:rsid w:val="00743101"/>
    <w:rsid w:val="007867A0"/>
    <w:rsid w:val="007927F5"/>
    <w:rsid w:val="00800C4E"/>
    <w:rsid w:val="00802CA0"/>
    <w:rsid w:val="00846D4F"/>
    <w:rsid w:val="008C1736"/>
    <w:rsid w:val="008E09EA"/>
    <w:rsid w:val="00922D5C"/>
    <w:rsid w:val="009517CD"/>
    <w:rsid w:val="009E5660"/>
    <w:rsid w:val="009E7C63"/>
    <w:rsid w:val="00A10A67"/>
    <w:rsid w:val="00A2118D"/>
    <w:rsid w:val="00A835FD"/>
    <w:rsid w:val="00AD76E2"/>
    <w:rsid w:val="00B20152"/>
    <w:rsid w:val="00B70850"/>
    <w:rsid w:val="00B821B0"/>
    <w:rsid w:val="00BD0F95"/>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4F"/>
    <w:pPr>
      <w:spacing w:after="200"/>
    </w:pPr>
    <w:rPr>
      <w:sz w:val="22"/>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Balk3">
    <w:name w:val="heading 3"/>
    <w:basedOn w:val="Normal"/>
    <w:next w:val="Normal"/>
    <w:link w:val="Balk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6B085D"/>
    <w:rPr>
      <w:caps/>
      <w:color w:val="000000" w:themeColor="text1"/>
      <w:sz w:val="86"/>
      <w:szCs w:val="76"/>
    </w:rPr>
  </w:style>
  <w:style w:type="character" w:customStyle="1" w:styleId="KonuBalChar">
    <w:name w:val="Konu Başlığı Char"/>
    <w:basedOn w:val="VarsaylanParagrafYazTipi"/>
    <w:link w:val="KonuBal"/>
    <w:uiPriority w:val="10"/>
    <w:rsid w:val="006B085D"/>
    <w:rPr>
      <w:caps/>
      <w:color w:val="000000" w:themeColor="text1"/>
      <w:sz w:val="8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rsid w:val="00E93B74"/>
    <w:rPr>
      <w:color w:val="B85A22" w:themeColor="accent2" w:themeShade="BF"/>
      <w:u w:val="single"/>
    </w:rPr>
  </w:style>
  <w:style w:type="character" w:customStyle="1" w:styleId="UnresolvedMention">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0629D5"/>
    <w:pPr>
      <w:spacing w:after="480"/>
    </w:pPr>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0629D5"/>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semiHidden/>
    <w:rsid w:val="000629D5"/>
    <w:rPr>
      <w:rFonts w:asciiTheme="majorHAnsi" w:eastAsiaTheme="majorEastAsia" w:hAnsiTheme="majorHAnsi" w:cstheme="majorBidi"/>
      <w:b/>
      <w:caps/>
      <w:sz w:val="22"/>
    </w:rPr>
  </w:style>
  <w:style w:type="paragraph" w:styleId="ListeMaddemi">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imetin">
    <w:name w:val="Gri metin"/>
    <w:basedOn w:val="VarsaylanParagrafYazTipi"/>
    <w:uiPriority w:val="4"/>
    <w:semiHidden/>
    <w:qFormat/>
    <w:rsid w:val="000629D5"/>
    <w:rPr>
      <w:color w:val="808080" w:themeColor="background1" w:themeShade="80"/>
    </w:rPr>
  </w:style>
  <w:style w:type="paragraph" w:customStyle="1" w:styleId="Adres">
    <w:name w:val="Adres"/>
    <w:basedOn w:val="Normal"/>
    <w:qFormat/>
    <w:rsid w:val="000629D5"/>
    <w:pPr>
      <w:spacing w:after="360"/>
      <w:contextualSpacing/>
    </w:pPr>
  </w:style>
  <w:style w:type="paragraph" w:customStyle="1" w:styleId="KiiAyrntlar">
    <w:name w:val="Kişi Ayrıntıları"/>
    <w:basedOn w:val="Normal"/>
    <w:qFormat/>
    <w:rsid w:val="000629D5"/>
    <w:pPr>
      <w:contextualSpacing/>
    </w:pPr>
  </w:style>
  <w:style w:type="paragraph" w:styleId="AralkYok">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2643">
      <w:bodyDiv w:val="1"/>
      <w:marLeft w:val="0"/>
      <w:marRight w:val="0"/>
      <w:marTop w:val="0"/>
      <w:marBottom w:val="0"/>
      <w:divBdr>
        <w:top w:val="none" w:sz="0" w:space="0" w:color="auto"/>
        <w:left w:val="none" w:sz="0" w:space="0" w:color="auto"/>
        <w:bottom w:val="none" w:sz="0" w:space="0" w:color="auto"/>
        <w:right w:val="none" w:sz="0" w:space="0" w:color="auto"/>
      </w:divBdr>
    </w:div>
    <w:div w:id="846670538">
      <w:bodyDiv w:val="1"/>
      <w:marLeft w:val="0"/>
      <w:marRight w:val="0"/>
      <w:marTop w:val="0"/>
      <w:marBottom w:val="0"/>
      <w:divBdr>
        <w:top w:val="none" w:sz="0" w:space="0" w:color="auto"/>
        <w:left w:val="none" w:sz="0" w:space="0" w:color="auto"/>
        <w:bottom w:val="none" w:sz="0" w:space="0" w:color="auto"/>
        <w:right w:val="none" w:sz="0" w:space="0" w:color="auto"/>
      </w:divBdr>
      <w:divsChild>
        <w:div w:id="2108505228">
          <w:marLeft w:val="0"/>
          <w:marRight w:val="0"/>
          <w:marTop w:val="0"/>
          <w:marBottom w:val="0"/>
          <w:divBdr>
            <w:top w:val="none" w:sz="0" w:space="0" w:color="auto"/>
            <w:left w:val="none" w:sz="0" w:space="0" w:color="auto"/>
            <w:bottom w:val="none" w:sz="0" w:space="0" w:color="auto"/>
            <w:right w:val="none" w:sz="0" w:space="0" w:color="auto"/>
          </w:divBdr>
          <w:divsChild>
            <w:div w:id="1132863747">
              <w:marLeft w:val="-225"/>
              <w:marRight w:val="-225"/>
              <w:marTop w:val="0"/>
              <w:marBottom w:val="0"/>
              <w:divBdr>
                <w:top w:val="none" w:sz="0" w:space="0" w:color="auto"/>
                <w:left w:val="none" w:sz="0" w:space="0" w:color="auto"/>
                <w:bottom w:val="none" w:sz="0" w:space="0" w:color="auto"/>
                <w:right w:val="none" w:sz="0" w:space="0" w:color="auto"/>
              </w:divBdr>
              <w:divsChild>
                <w:div w:id="1890461073">
                  <w:marLeft w:val="0"/>
                  <w:marRight w:val="0"/>
                  <w:marTop w:val="0"/>
                  <w:marBottom w:val="0"/>
                  <w:divBdr>
                    <w:top w:val="none" w:sz="0" w:space="0" w:color="auto"/>
                    <w:left w:val="none" w:sz="0" w:space="0" w:color="auto"/>
                    <w:bottom w:val="none" w:sz="0" w:space="0" w:color="auto"/>
                    <w:right w:val="none" w:sz="0" w:space="0" w:color="auto"/>
                  </w:divBdr>
                  <w:divsChild>
                    <w:div w:id="380448865">
                      <w:marLeft w:val="0"/>
                      <w:marRight w:val="0"/>
                      <w:marTop w:val="0"/>
                      <w:marBottom w:val="0"/>
                      <w:divBdr>
                        <w:top w:val="none" w:sz="0" w:space="0" w:color="auto"/>
                        <w:left w:val="none" w:sz="0" w:space="0" w:color="auto"/>
                        <w:bottom w:val="none" w:sz="0" w:space="0" w:color="auto"/>
                        <w:right w:val="none" w:sz="0" w:space="0" w:color="auto"/>
                      </w:divBdr>
                    </w:div>
                    <w:div w:id="577326862">
                      <w:marLeft w:val="0"/>
                      <w:marRight w:val="0"/>
                      <w:marTop w:val="0"/>
                      <w:marBottom w:val="315"/>
                      <w:divBdr>
                        <w:top w:val="none" w:sz="0" w:space="0" w:color="auto"/>
                        <w:left w:val="none" w:sz="0" w:space="0" w:color="auto"/>
                        <w:bottom w:val="none" w:sz="0" w:space="0" w:color="auto"/>
                        <w:right w:val="none" w:sz="0" w:space="0" w:color="auto"/>
                      </w:divBdr>
                    </w:div>
                    <w:div w:id="2001495273">
                      <w:marLeft w:val="0"/>
                      <w:marRight w:val="0"/>
                      <w:marTop w:val="0"/>
                      <w:marBottom w:val="0"/>
                      <w:divBdr>
                        <w:top w:val="none" w:sz="0" w:space="0" w:color="auto"/>
                        <w:left w:val="none" w:sz="0" w:space="0" w:color="auto"/>
                        <w:bottom w:val="none" w:sz="0" w:space="0" w:color="auto"/>
                        <w:right w:val="none" w:sz="0" w:space="0" w:color="auto"/>
                      </w:divBdr>
                    </w:div>
                  </w:divsChild>
                </w:div>
                <w:div w:id="248930930">
                  <w:marLeft w:val="0"/>
                  <w:marRight w:val="0"/>
                  <w:marTop w:val="0"/>
                  <w:marBottom w:val="0"/>
                  <w:divBdr>
                    <w:top w:val="none" w:sz="0" w:space="0" w:color="auto"/>
                    <w:left w:val="none" w:sz="0" w:space="0" w:color="auto"/>
                    <w:bottom w:val="none" w:sz="0" w:space="0" w:color="auto"/>
                    <w:right w:val="none" w:sz="0" w:space="0" w:color="auto"/>
                  </w:divBdr>
                  <w:divsChild>
                    <w:div w:id="1625843741">
                      <w:marLeft w:val="0"/>
                      <w:marRight w:val="0"/>
                      <w:marTop w:val="0"/>
                      <w:marBottom w:val="180"/>
                      <w:divBdr>
                        <w:top w:val="none" w:sz="0" w:space="0" w:color="auto"/>
                        <w:left w:val="none" w:sz="0" w:space="0" w:color="auto"/>
                        <w:bottom w:val="none" w:sz="0" w:space="0" w:color="auto"/>
                        <w:right w:val="none" w:sz="0" w:space="0" w:color="auto"/>
                      </w:divBdr>
                      <w:divsChild>
                        <w:div w:id="2075154772">
                          <w:marLeft w:val="0"/>
                          <w:marRight w:val="0"/>
                          <w:marTop w:val="0"/>
                          <w:marBottom w:val="0"/>
                          <w:divBdr>
                            <w:top w:val="none" w:sz="0" w:space="0" w:color="auto"/>
                            <w:left w:val="none" w:sz="0" w:space="0" w:color="auto"/>
                            <w:bottom w:val="single" w:sz="6" w:space="5" w:color="D8D8D8"/>
                            <w:right w:val="none" w:sz="0" w:space="0" w:color="auto"/>
                          </w:divBdr>
                        </w:div>
                        <w:div w:id="424348273">
                          <w:marLeft w:val="0"/>
                          <w:marRight w:val="0"/>
                          <w:marTop w:val="0"/>
                          <w:marBottom w:val="0"/>
                          <w:divBdr>
                            <w:top w:val="none" w:sz="0" w:space="0" w:color="auto"/>
                            <w:left w:val="none" w:sz="0" w:space="0" w:color="auto"/>
                            <w:bottom w:val="single" w:sz="6" w:space="5" w:color="D8D8D8"/>
                            <w:right w:val="none" w:sz="0" w:space="0" w:color="auto"/>
                          </w:divBdr>
                        </w:div>
                        <w:div w:id="1777090535">
                          <w:marLeft w:val="0"/>
                          <w:marRight w:val="0"/>
                          <w:marTop w:val="0"/>
                          <w:marBottom w:val="0"/>
                          <w:divBdr>
                            <w:top w:val="none" w:sz="0" w:space="0" w:color="auto"/>
                            <w:left w:val="none" w:sz="0" w:space="0" w:color="auto"/>
                            <w:bottom w:val="single" w:sz="6" w:space="5" w:color="D8D8D8"/>
                            <w:right w:val="none" w:sz="0" w:space="0" w:color="auto"/>
                          </w:divBdr>
                        </w:div>
                        <w:div w:id="2035686941">
                          <w:marLeft w:val="0"/>
                          <w:marRight w:val="0"/>
                          <w:marTop w:val="0"/>
                          <w:marBottom w:val="0"/>
                          <w:divBdr>
                            <w:top w:val="none" w:sz="0" w:space="0" w:color="auto"/>
                            <w:left w:val="none" w:sz="0" w:space="0" w:color="auto"/>
                            <w:bottom w:val="single" w:sz="6" w:space="5" w:color="D8D8D8"/>
                            <w:right w:val="none" w:sz="0" w:space="0" w:color="auto"/>
                          </w:divBdr>
                        </w:div>
                        <w:div w:id="631909632">
                          <w:marLeft w:val="0"/>
                          <w:marRight w:val="0"/>
                          <w:marTop w:val="0"/>
                          <w:marBottom w:val="0"/>
                          <w:divBdr>
                            <w:top w:val="none" w:sz="0" w:space="0" w:color="auto"/>
                            <w:left w:val="none" w:sz="0" w:space="0" w:color="auto"/>
                            <w:bottom w:val="none" w:sz="0" w:space="0" w:color="auto"/>
                            <w:right w:val="none" w:sz="0" w:space="0" w:color="auto"/>
                          </w:divBdr>
                        </w:div>
                      </w:divsChild>
                    </w:div>
                    <w:div w:id="386338841">
                      <w:marLeft w:val="-225"/>
                      <w:marRight w:val="-225"/>
                      <w:marTop w:val="0"/>
                      <w:marBottom w:val="0"/>
                      <w:divBdr>
                        <w:top w:val="none" w:sz="0" w:space="0" w:color="auto"/>
                        <w:left w:val="none" w:sz="0" w:space="0" w:color="auto"/>
                        <w:bottom w:val="none" w:sz="0" w:space="0" w:color="auto"/>
                        <w:right w:val="none" w:sz="0" w:space="0" w:color="auto"/>
                      </w:divBdr>
                      <w:divsChild>
                        <w:div w:id="1003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7735">
          <w:marLeft w:val="0"/>
          <w:marRight w:val="0"/>
          <w:marTop w:val="0"/>
          <w:marBottom w:val="0"/>
          <w:divBdr>
            <w:top w:val="none" w:sz="0" w:space="0" w:color="auto"/>
            <w:left w:val="none" w:sz="0" w:space="0" w:color="auto"/>
            <w:bottom w:val="none" w:sz="0" w:space="0" w:color="auto"/>
            <w:right w:val="none" w:sz="0" w:space="0" w:color="auto"/>
          </w:divBdr>
          <w:divsChild>
            <w:div w:id="531113228">
              <w:marLeft w:val="-225"/>
              <w:marRight w:val="-225"/>
              <w:marTop w:val="0"/>
              <w:marBottom w:val="0"/>
              <w:divBdr>
                <w:top w:val="none" w:sz="0" w:space="0" w:color="auto"/>
                <w:left w:val="none" w:sz="0" w:space="0" w:color="auto"/>
                <w:bottom w:val="none" w:sz="0" w:space="0" w:color="auto"/>
                <w:right w:val="none" w:sz="0" w:space="0" w:color="auto"/>
              </w:divBdr>
              <w:divsChild>
                <w:div w:id="1973973765">
                  <w:marLeft w:val="0"/>
                  <w:marRight w:val="0"/>
                  <w:marTop w:val="0"/>
                  <w:marBottom w:val="0"/>
                  <w:divBdr>
                    <w:top w:val="none" w:sz="0" w:space="0" w:color="auto"/>
                    <w:left w:val="none" w:sz="0" w:space="0" w:color="auto"/>
                    <w:bottom w:val="none" w:sz="0" w:space="0" w:color="auto"/>
                    <w:right w:val="none" w:sz="0" w:space="0" w:color="auto"/>
                  </w:divBdr>
                  <w:divsChild>
                    <w:div w:id="481239869">
                      <w:marLeft w:val="0"/>
                      <w:marRight w:val="0"/>
                      <w:marTop w:val="0"/>
                      <w:marBottom w:val="0"/>
                      <w:divBdr>
                        <w:top w:val="none" w:sz="0" w:space="0" w:color="auto"/>
                        <w:left w:val="none" w:sz="0" w:space="0" w:color="auto"/>
                        <w:bottom w:val="none" w:sz="0" w:space="0" w:color="auto"/>
                        <w:right w:val="none" w:sz="0" w:space="0" w:color="auto"/>
                      </w:divBdr>
                      <w:divsChild>
                        <w:div w:id="2000843448">
                          <w:marLeft w:val="0"/>
                          <w:marRight w:val="0"/>
                          <w:marTop w:val="0"/>
                          <w:marBottom w:val="0"/>
                          <w:divBdr>
                            <w:top w:val="none" w:sz="0" w:space="0" w:color="auto"/>
                            <w:left w:val="none" w:sz="0" w:space="0" w:color="auto"/>
                            <w:bottom w:val="none" w:sz="0" w:space="0" w:color="auto"/>
                            <w:right w:val="none" w:sz="0" w:space="0" w:color="auto"/>
                          </w:divBdr>
                          <w:divsChild>
                            <w:div w:id="733040262">
                              <w:marLeft w:val="0"/>
                              <w:marRight w:val="0"/>
                              <w:marTop w:val="0"/>
                              <w:marBottom w:val="0"/>
                              <w:divBdr>
                                <w:top w:val="none" w:sz="0" w:space="0" w:color="auto"/>
                                <w:left w:val="none" w:sz="0" w:space="0" w:color="auto"/>
                                <w:bottom w:val="none" w:sz="0" w:space="0" w:color="auto"/>
                                <w:right w:val="none" w:sz="0" w:space="0" w:color="auto"/>
                              </w:divBdr>
                              <w:divsChild>
                                <w:div w:id="1675301974">
                                  <w:marLeft w:val="0"/>
                                  <w:marRight w:val="120"/>
                                  <w:marTop w:val="0"/>
                                  <w:marBottom w:val="0"/>
                                  <w:divBdr>
                                    <w:top w:val="none" w:sz="0" w:space="0" w:color="auto"/>
                                    <w:left w:val="none" w:sz="0" w:space="0" w:color="auto"/>
                                    <w:bottom w:val="none" w:sz="0" w:space="0" w:color="auto"/>
                                    <w:right w:val="none" w:sz="0" w:space="0" w:color="auto"/>
                                  </w:divBdr>
                                  <w:divsChild>
                                    <w:div w:id="137896537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314598286">
                                  <w:marLeft w:val="0"/>
                                  <w:marRight w:val="120"/>
                                  <w:marTop w:val="0"/>
                                  <w:marBottom w:val="0"/>
                                  <w:divBdr>
                                    <w:top w:val="none" w:sz="0" w:space="0" w:color="auto"/>
                                    <w:left w:val="none" w:sz="0" w:space="0" w:color="auto"/>
                                    <w:bottom w:val="none" w:sz="0" w:space="0" w:color="auto"/>
                                    <w:right w:val="none" w:sz="0" w:space="0" w:color="auto"/>
                                  </w:divBdr>
                                  <w:divsChild>
                                    <w:div w:id="77964878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67145661">
                                  <w:marLeft w:val="0"/>
                                  <w:marRight w:val="120"/>
                                  <w:marTop w:val="0"/>
                                  <w:marBottom w:val="0"/>
                                  <w:divBdr>
                                    <w:top w:val="none" w:sz="0" w:space="0" w:color="auto"/>
                                    <w:left w:val="none" w:sz="0" w:space="0" w:color="auto"/>
                                    <w:bottom w:val="none" w:sz="0" w:space="0" w:color="auto"/>
                                    <w:right w:val="none" w:sz="0" w:space="0" w:color="auto"/>
                                  </w:divBdr>
                                  <w:divsChild>
                                    <w:div w:id="116512841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26004381">
                                  <w:marLeft w:val="0"/>
                                  <w:marRight w:val="120"/>
                                  <w:marTop w:val="0"/>
                                  <w:marBottom w:val="0"/>
                                  <w:divBdr>
                                    <w:top w:val="none" w:sz="0" w:space="0" w:color="auto"/>
                                    <w:left w:val="none" w:sz="0" w:space="0" w:color="auto"/>
                                    <w:bottom w:val="none" w:sz="0" w:space="0" w:color="auto"/>
                                    <w:right w:val="none" w:sz="0" w:space="0" w:color="auto"/>
                                  </w:divBdr>
                                  <w:divsChild>
                                    <w:div w:id="792988416">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183930856">
                                  <w:marLeft w:val="0"/>
                                  <w:marRight w:val="120"/>
                                  <w:marTop w:val="0"/>
                                  <w:marBottom w:val="0"/>
                                  <w:divBdr>
                                    <w:top w:val="none" w:sz="0" w:space="0" w:color="auto"/>
                                    <w:left w:val="none" w:sz="0" w:space="0" w:color="auto"/>
                                    <w:bottom w:val="none" w:sz="0" w:space="0" w:color="auto"/>
                                    <w:right w:val="none" w:sz="0" w:space="0" w:color="auto"/>
                                  </w:divBdr>
                                  <w:divsChild>
                                    <w:div w:id="173042387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317690376">
                                  <w:marLeft w:val="0"/>
                                  <w:marRight w:val="120"/>
                                  <w:marTop w:val="0"/>
                                  <w:marBottom w:val="0"/>
                                  <w:divBdr>
                                    <w:top w:val="none" w:sz="0" w:space="0" w:color="auto"/>
                                    <w:left w:val="none" w:sz="0" w:space="0" w:color="auto"/>
                                    <w:bottom w:val="none" w:sz="0" w:space="0" w:color="auto"/>
                                    <w:right w:val="none" w:sz="0" w:space="0" w:color="auto"/>
                                  </w:divBdr>
                                  <w:divsChild>
                                    <w:div w:id="866412587">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168059359">
                                  <w:marLeft w:val="0"/>
                                  <w:marRight w:val="120"/>
                                  <w:marTop w:val="0"/>
                                  <w:marBottom w:val="0"/>
                                  <w:divBdr>
                                    <w:top w:val="none" w:sz="0" w:space="0" w:color="auto"/>
                                    <w:left w:val="none" w:sz="0" w:space="0" w:color="auto"/>
                                    <w:bottom w:val="none" w:sz="0" w:space="0" w:color="auto"/>
                                    <w:right w:val="none" w:sz="0" w:space="0" w:color="auto"/>
                                  </w:divBdr>
                                  <w:divsChild>
                                    <w:div w:id="1254127776">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16086441">
                                  <w:marLeft w:val="0"/>
                                  <w:marRight w:val="120"/>
                                  <w:marTop w:val="0"/>
                                  <w:marBottom w:val="0"/>
                                  <w:divBdr>
                                    <w:top w:val="none" w:sz="0" w:space="0" w:color="auto"/>
                                    <w:left w:val="none" w:sz="0" w:space="0" w:color="auto"/>
                                    <w:bottom w:val="none" w:sz="0" w:space="0" w:color="auto"/>
                                    <w:right w:val="none" w:sz="0" w:space="0" w:color="auto"/>
                                  </w:divBdr>
                                  <w:divsChild>
                                    <w:div w:id="36583421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643461987">
                                  <w:marLeft w:val="0"/>
                                  <w:marRight w:val="120"/>
                                  <w:marTop w:val="0"/>
                                  <w:marBottom w:val="0"/>
                                  <w:divBdr>
                                    <w:top w:val="none" w:sz="0" w:space="0" w:color="auto"/>
                                    <w:left w:val="none" w:sz="0" w:space="0" w:color="auto"/>
                                    <w:bottom w:val="none" w:sz="0" w:space="0" w:color="auto"/>
                                    <w:right w:val="none" w:sz="0" w:space="0" w:color="auto"/>
                                  </w:divBdr>
                                  <w:divsChild>
                                    <w:div w:id="80828080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251505618">
                                  <w:marLeft w:val="0"/>
                                  <w:marRight w:val="120"/>
                                  <w:marTop w:val="0"/>
                                  <w:marBottom w:val="0"/>
                                  <w:divBdr>
                                    <w:top w:val="none" w:sz="0" w:space="0" w:color="auto"/>
                                    <w:left w:val="none" w:sz="0" w:space="0" w:color="auto"/>
                                    <w:bottom w:val="none" w:sz="0" w:space="0" w:color="auto"/>
                                    <w:right w:val="none" w:sz="0" w:space="0" w:color="auto"/>
                                  </w:divBdr>
                                  <w:divsChild>
                                    <w:div w:id="116963287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88843938">
                                  <w:marLeft w:val="0"/>
                                  <w:marRight w:val="120"/>
                                  <w:marTop w:val="0"/>
                                  <w:marBottom w:val="0"/>
                                  <w:divBdr>
                                    <w:top w:val="none" w:sz="0" w:space="0" w:color="auto"/>
                                    <w:left w:val="none" w:sz="0" w:space="0" w:color="auto"/>
                                    <w:bottom w:val="none" w:sz="0" w:space="0" w:color="auto"/>
                                    <w:right w:val="none" w:sz="0" w:space="0" w:color="auto"/>
                                  </w:divBdr>
                                  <w:divsChild>
                                    <w:div w:id="92014186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12178008">
                                  <w:marLeft w:val="0"/>
                                  <w:marRight w:val="120"/>
                                  <w:marTop w:val="0"/>
                                  <w:marBottom w:val="0"/>
                                  <w:divBdr>
                                    <w:top w:val="none" w:sz="0" w:space="0" w:color="auto"/>
                                    <w:left w:val="none" w:sz="0" w:space="0" w:color="auto"/>
                                    <w:bottom w:val="none" w:sz="0" w:space="0" w:color="auto"/>
                                    <w:right w:val="none" w:sz="0" w:space="0" w:color="auto"/>
                                  </w:divBdr>
                                  <w:divsChild>
                                    <w:div w:id="19669602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581569694">
                                  <w:marLeft w:val="0"/>
                                  <w:marRight w:val="120"/>
                                  <w:marTop w:val="0"/>
                                  <w:marBottom w:val="0"/>
                                  <w:divBdr>
                                    <w:top w:val="none" w:sz="0" w:space="0" w:color="auto"/>
                                    <w:left w:val="none" w:sz="0" w:space="0" w:color="auto"/>
                                    <w:bottom w:val="none" w:sz="0" w:space="0" w:color="auto"/>
                                    <w:right w:val="none" w:sz="0" w:space="0" w:color="auto"/>
                                  </w:divBdr>
                                  <w:divsChild>
                                    <w:div w:id="133788034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604843968">
                                  <w:marLeft w:val="0"/>
                                  <w:marRight w:val="120"/>
                                  <w:marTop w:val="0"/>
                                  <w:marBottom w:val="0"/>
                                  <w:divBdr>
                                    <w:top w:val="none" w:sz="0" w:space="0" w:color="auto"/>
                                    <w:left w:val="none" w:sz="0" w:space="0" w:color="auto"/>
                                    <w:bottom w:val="none" w:sz="0" w:space="0" w:color="auto"/>
                                    <w:right w:val="none" w:sz="0" w:space="0" w:color="auto"/>
                                  </w:divBdr>
                                  <w:divsChild>
                                    <w:div w:id="6468995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888565008">
                                  <w:marLeft w:val="0"/>
                                  <w:marRight w:val="120"/>
                                  <w:marTop w:val="0"/>
                                  <w:marBottom w:val="0"/>
                                  <w:divBdr>
                                    <w:top w:val="none" w:sz="0" w:space="0" w:color="auto"/>
                                    <w:left w:val="none" w:sz="0" w:space="0" w:color="auto"/>
                                    <w:bottom w:val="none" w:sz="0" w:space="0" w:color="auto"/>
                                    <w:right w:val="none" w:sz="0" w:space="0" w:color="auto"/>
                                  </w:divBdr>
                                  <w:divsChild>
                                    <w:div w:id="155218515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65324736">
                                  <w:marLeft w:val="0"/>
                                  <w:marRight w:val="120"/>
                                  <w:marTop w:val="0"/>
                                  <w:marBottom w:val="0"/>
                                  <w:divBdr>
                                    <w:top w:val="none" w:sz="0" w:space="0" w:color="auto"/>
                                    <w:left w:val="none" w:sz="0" w:space="0" w:color="auto"/>
                                    <w:bottom w:val="none" w:sz="0" w:space="0" w:color="auto"/>
                                    <w:right w:val="none" w:sz="0" w:space="0" w:color="auto"/>
                                  </w:divBdr>
                                  <w:divsChild>
                                    <w:div w:id="197258769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575096290">
                                  <w:marLeft w:val="0"/>
                                  <w:marRight w:val="120"/>
                                  <w:marTop w:val="0"/>
                                  <w:marBottom w:val="0"/>
                                  <w:divBdr>
                                    <w:top w:val="none" w:sz="0" w:space="0" w:color="auto"/>
                                    <w:left w:val="none" w:sz="0" w:space="0" w:color="auto"/>
                                    <w:bottom w:val="none" w:sz="0" w:space="0" w:color="auto"/>
                                    <w:right w:val="none" w:sz="0" w:space="0" w:color="auto"/>
                                  </w:divBdr>
                                  <w:divsChild>
                                    <w:div w:id="722677200">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290434831">
                                  <w:marLeft w:val="0"/>
                                  <w:marRight w:val="120"/>
                                  <w:marTop w:val="0"/>
                                  <w:marBottom w:val="0"/>
                                  <w:divBdr>
                                    <w:top w:val="none" w:sz="0" w:space="0" w:color="auto"/>
                                    <w:left w:val="none" w:sz="0" w:space="0" w:color="auto"/>
                                    <w:bottom w:val="none" w:sz="0" w:space="0" w:color="auto"/>
                                    <w:right w:val="none" w:sz="0" w:space="0" w:color="auto"/>
                                  </w:divBdr>
                                  <w:divsChild>
                                    <w:div w:id="30397404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54959434">
                                  <w:marLeft w:val="0"/>
                                  <w:marRight w:val="120"/>
                                  <w:marTop w:val="0"/>
                                  <w:marBottom w:val="0"/>
                                  <w:divBdr>
                                    <w:top w:val="none" w:sz="0" w:space="0" w:color="auto"/>
                                    <w:left w:val="none" w:sz="0" w:space="0" w:color="auto"/>
                                    <w:bottom w:val="none" w:sz="0" w:space="0" w:color="auto"/>
                                    <w:right w:val="none" w:sz="0" w:space="0" w:color="auto"/>
                                  </w:divBdr>
                                  <w:divsChild>
                                    <w:div w:id="189603971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295719079">
                                  <w:marLeft w:val="0"/>
                                  <w:marRight w:val="120"/>
                                  <w:marTop w:val="0"/>
                                  <w:marBottom w:val="0"/>
                                  <w:divBdr>
                                    <w:top w:val="none" w:sz="0" w:space="0" w:color="auto"/>
                                    <w:left w:val="none" w:sz="0" w:space="0" w:color="auto"/>
                                    <w:bottom w:val="none" w:sz="0" w:space="0" w:color="auto"/>
                                    <w:right w:val="none" w:sz="0" w:space="0" w:color="auto"/>
                                  </w:divBdr>
                                  <w:divsChild>
                                    <w:div w:id="3651188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601835645">
                                  <w:marLeft w:val="0"/>
                                  <w:marRight w:val="120"/>
                                  <w:marTop w:val="0"/>
                                  <w:marBottom w:val="0"/>
                                  <w:divBdr>
                                    <w:top w:val="none" w:sz="0" w:space="0" w:color="auto"/>
                                    <w:left w:val="none" w:sz="0" w:space="0" w:color="auto"/>
                                    <w:bottom w:val="none" w:sz="0" w:space="0" w:color="auto"/>
                                    <w:right w:val="none" w:sz="0" w:space="0" w:color="auto"/>
                                  </w:divBdr>
                                  <w:divsChild>
                                    <w:div w:id="197894689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760446861">
                                  <w:marLeft w:val="0"/>
                                  <w:marRight w:val="120"/>
                                  <w:marTop w:val="0"/>
                                  <w:marBottom w:val="0"/>
                                  <w:divBdr>
                                    <w:top w:val="none" w:sz="0" w:space="0" w:color="auto"/>
                                    <w:left w:val="none" w:sz="0" w:space="0" w:color="auto"/>
                                    <w:bottom w:val="none" w:sz="0" w:space="0" w:color="auto"/>
                                    <w:right w:val="none" w:sz="0" w:space="0" w:color="auto"/>
                                  </w:divBdr>
                                  <w:divsChild>
                                    <w:div w:id="129637660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784496614">
                                  <w:marLeft w:val="0"/>
                                  <w:marRight w:val="120"/>
                                  <w:marTop w:val="0"/>
                                  <w:marBottom w:val="0"/>
                                  <w:divBdr>
                                    <w:top w:val="none" w:sz="0" w:space="0" w:color="auto"/>
                                    <w:left w:val="none" w:sz="0" w:space="0" w:color="auto"/>
                                    <w:bottom w:val="none" w:sz="0" w:space="0" w:color="auto"/>
                                    <w:right w:val="none" w:sz="0" w:space="0" w:color="auto"/>
                                  </w:divBdr>
                                  <w:divsChild>
                                    <w:div w:id="178835189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74960599">
                                  <w:marLeft w:val="0"/>
                                  <w:marRight w:val="120"/>
                                  <w:marTop w:val="0"/>
                                  <w:marBottom w:val="0"/>
                                  <w:divBdr>
                                    <w:top w:val="none" w:sz="0" w:space="0" w:color="auto"/>
                                    <w:left w:val="none" w:sz="0" w:space="0" w:color="auto"/>
                                    <w:bottom w:val="none" w:sz="0" w:space="0" w:color="auto"/>
                                    <w:right w:val="none" w:sz="0" w:space="0" w:color="auto"/>
                                  </w:divBdr>
                                  <w:divsChild>
                                    <w:div w:id="13949360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159418734">
                                  <w:marLeft w:val="0"/>
                                  <w:marRight w:val="120"/>
                                  <w:marTop w:val="0"/>
                                  <w:marBottom w:val="0"/>
                                  <w:divBdr>
                                    <w:top w:val="none" w:sz="0" w:space="0" w:color="auto"/>
                                    <w:left w:val="none" w:sz="0" w:space="0" w:color="auto"/>
                                    <w:bottom w:val="none" w:sz="0" w:space="0" w:color="auto"/>
                                    <w:right w:val="none" w:sz="0" w:space="0" w:color="auto"/>
                                  </w:divBdr>
                                  <w:divsChild>
                                    <w:div w:id="193890320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39952647">
                                  <w:marLeft w:val="0"/>
                                  <w:marRight w:val="120"/>
                                  <w:marTop w:val="0"/>
                                  <w:marBottom w:val="0"/>
                                  <w:divBdr>
                                    <w:top w:val="none" w:sz="0" w:space="0" w:color="auto"/>
                                    <w:left w:val="none" w:sz="0" w:space="0" w:color="auto"/>
                                    <w:bottom w:val="none" w:sz="0" w:space="0" w:color="auto"/>
                                    <w:right w:val="none" w:sz="0" w:space="0" w:color="auto"/>
                                  </w:divBdr>
                                  <w:divsChild>
                                    <w:div w:id="82944324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42818794">
                                  <w:marLeft w:val="0"/>
                                  <w:marRight w:val="120"/>
                                  <w:marTop w:val="0"/>
                                  <w:marBottom w:val="0"/>
                                  <w:divBdr>
                                    <w:top w:val="none" w:sz="0" w:space="0" w:color="auto"/>
                                    <w:left w:val="none" w:sz="0" w:space="0" w:color="auto"/>
                                    <w:bottom w:val="none" w:sz="0" w:space="0" w:color="auto"/>
                                    <w:right w:val="none" w:sz="0" w:space="0" w:color="auto"/>
                                  </w:divBdr>
                                  <w:divsChild>
                                    <w:div w:id="2117445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260481113">
                                  <w:marLeft w:val="0"/>
                                  <w:marRight w:val="120"/>
                                  <w:marTop w:val="0"/>
                                  <w:marBottom w:val="0"/>
                                  <w:divBdr>
                                    <w:top w:val="none" w:sz="0" w:space="0" w:color="auto"/>
                                    <w:left w:val="none" w:sz="0" w:space="0" w:color="auto"/>
                                    <w:bottom w:val="none" w:sz="0" w:space="0" w:color="auto"/>
                                    <w:right w:val="none" w:sz="0" w:space="0" w:color="auto"/>
                                  </w:divBdr>
                                  <w:divsChild>
                                    <w:div w:id="115626396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684138334">
                                  <w:marLeft w:val="0"/>
                                  <w:marRight w:val="120"/>
                                  <w:marTop w:val="0"/>
                                  <w:marBottom w:val="0"/>
                                  <w:divBdr>
                                    <w:top w:val="none" w:sz="0" w:space="0" w:color="auto"/>
                                    <w:left w:val="none" w:sz="0" w:space="0" w:color="auto"/>
                                    <w:bottom w:val="none" w:sz="0" w:space="0" w:color="auto"/>
                                    <w:right w:val="none" w:sz="0" w:space="0" w:color="auto"/>
                                  </w:divBdr>
                                  <w:divsChild>
                                    <w:div w:id="81723870">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51198019">
                                  <w:marLeft w:val="0"/>
                                  <w:marRight w:val="120"/>
                                  <w:marTop w:val="0"/>
                                  <w:marBottom w:val="0"/>
                                  <w:divBdr>
                                    <w:top w:val="none" w:sz="0" w:space="0" w:color="auto"/>
                                    <w:left w:val="none" w:sz="0" w:space="0" w:color="auto"/>
                                    <w:bottom w:val="none" w:sz="0" w:space="0" w:color="auto"/>
                                    <w:right w:val="none" w:sz="0" w:space="0" w:color="auto"/>
                                  </w:divBdr>
                                  <w:divsChild>
                                    <w:div w:id="165880070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70736696">
                                  <w:marLeft w:val="0"/>
                                  <w:marRight w:val="120"/>
                                  <w:marTop w:val="0"/>
                                  <w:marBottom w:val="0"/>
                                  <w:divBdr>
                                    <w:top w:val="none" w:sz="0" w:space="0" w:color="auto"/>
                                    <w:left w:val="none" w:sz="0" w:space="0" w:color="auto"/>
                                    <w:bottom w:val="none" w:sz="0" w:space="0" w:color="auto"/>
                                    <w:right w:val="none" w:sz="0" w:space="0" w:color="auto"/>
                                  </w:divBdr>
                                  <w:divsChild>
                                    <w:div w:id="1894461536">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ci\AppData\Roaming\Microsoft\&#350;ablonlar\Mavi%20gri%20kapak%20mektubu.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kapak mektubu</Template>
  <TotalTime>0</TotalTime>
  <Pages>3</Pages>
  <Words>873</Words>
  <Characters>4980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2023-11-24T10:27:00Z</dcterms:created>
  <dcterms:modified xsi:type="dcterms:W3CDTF">2023-11-24T10:27:00Z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